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71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Предварительные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цифры приема на 20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20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-20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2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1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учебный год</w:t>
      </w:r>
      <w:r>
        <w:rPr>
          <w:rFonts w:ascii="Times New Roman" w:hAnsi="Times New Roman"/>
          <w:b/>
          <w:sz w:val="32"/>
          <w:szCs w:val="32"/>
          <w:lang w:val="ru-RU"/>
        </w:rPr>
      </w:r>
      <w:r/>
    </w:p>
    <w:tbl>
      <w:tblPr>
        <w:tblW w:w="11057" w:type="dxa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134"/>
        <w:gridCol w:w="1276"/>
        <w:gridCol w:w="1276"/>
        <w:gridCol w:w="1134"/>
        <w:gridCol w:w="1134"/>
      </w:tblGrid>
      <w:tr>
        <w:trPr>
          <w:cantSplit/>
          <w:trHeight w:val="45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Код и наименование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профессии/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специальности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Общее количество мест для приема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Базовое образование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Срок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обучения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Форма обучения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Численность обучающихся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(человек)</w:t>
            </w:r>
            <w:r/>
          </w:p>
        </w:tc>
      </w:tr>
      <w:tr>
        <w:trPr>
          <w:cantSplit/>
          <w:trHeight w:val="627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Внебюджет</w:t>
            </w:r>
            <w:r/>
          </w:p>
        </w:tc>
      </w:tr>
      <w:tr>
        <w:trPr>
          <w:trHeight w:val="197"/>
        </w:trPr>
        <w:tc>
          <w:tcPr>
            <w:gridSpan w:val="7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057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Программы подготовки квалифицированных рабочих  (служащих)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</w:r>
            <w:r/>
          </w:p>
        </w:tc>
      </w:tr>
      <w:tr>
        <w:trPr>
          <w:cantSplit/>
          <w:trHeight w:val="48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08.01.07 Мастер общестроительных работ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2г.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10 мес.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cantSplit/>
          <w:trHeight w:val="554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1г.10</w:t>
            </w:r>
            <w:r>
              <w:rPr>
                <w:rFonts w:ascii="Times New Roman" w:hAnsi="Times New Roman"/>
                <w:lang w:val="ru-RU"/>
              </w:rPr>
              <w:t xml:space="preserve">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очно-заочная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trHeight w:val="9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08.01.25 Мастер отделочных строительных и декоративных работ </w:t>
            </w:r>
            <w:r>
              <w:rPr>
                <w:rFonts w:ascii="Times New Roman" w:hAnsi="Times New Roman"/>
                <w:b/>
                <w:lang w:val="ru-RU"/>
              </w:rPr>
              <w:t xml:space="preserve">ТОП-50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08.01.24 Мастер столярно-плотничных, паркетных и стекольных работ </w:t>
            </w:r>
            <w:r>
              <w:rPr>
                <w:rFonts w:ascii="Times New Roman" w:hAnsi="Times New Roman"/>
                <w:b/>
                <w:lang w:val="ru-RU"/>
              </w:rPr>
              <w:t xml:space="preserve">ТОП-50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cantSplit/>
          <w:trHeight w:val="4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08.01.18 Электромонтажник электрических сетей и электрооборудования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cantSplit/>
          <w:trHeight w:val="355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trHeight w:val="69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15.01.</w:t>
            </w:r>
            <w:r>
              <w:rPr>
                <w:rFonts w:ascii="Times New Roman" w:hAnsi="Times New Roman"/>
                <w:lang w:val="ru-RU"/>
              </w:rPr>
              <w:t xml:space="preserve">31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Мастер</w:t>
            </w:r>
            <w:r>
              <w:rPr>
                <w:rFonts w:ascii="Times New Roman" w:hAnsi="Times New Roman"/>
                <w:lang w:val="ru-RU"/>
              </w:rPr>
              <w:t xml:space="preserve"> контрольно-измерительны</w:t>
            </w:r>
            <w:r>
              <w:rPr>
                <w:rFonts w:ascii="Times New Roman" w:hAnsi="Times New Roman"/>
                <w:lang w:val="ru-RU"/>
              </w:rPr>
              <w:t xml:space="preserve">х</w:t>
            </w:r>
            <w:r>
              <w:rPr>
                <w:rFonts w:ascii="Times New Roman" w:hAnsi="Times New Roman"/>
                <w:lang w:val="ru-RU"/>
              </w:rPr>
              <w:t xml:space="preserve"> прибор</w:t>
            </w:r>
            <w:r>
              <w:rPr>
                <w:rFonts w:ascii="Times New Roman" w:hAnsi="Times New Roman"/>
                <w:lang w:val="ru-RU"/>
              </w:rPr>
              <w:t xml:space="preserve">ов</w:t>
            </w:r>
            <w:r>
              <w:rPr>
                <w:rFonts w:ascii="Times New Roman" w:hAnsi="Times New Roman"/>
                <w:lang w:val="ru-RU"/>
              </w:rPr>
              <w:t xml:space="preserve"> и автоматике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ТОП-50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 кл.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1г.10</w:t>
            </w:r>
            <w:r>
              <w:rPr>
                <w:rFonts w:ascii="Times New Roman" w:hAnsi="Times New Roman"/>
                <w:lang w:val="ru-RU"/>
              </w:rPr>
              <w:t xml:space="preserve">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</w:tr>
      <w:tr>
        <w:trPr>
          <w:trHeight w:val="69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15.01.20 Слесарь по контрольно-измерительным приборам и автоматике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trHeight w:val="81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15.01.05 Сварщик (ручной и частично механизированной сварки (наплавки) </w:t>
            </w:r>
            <w:r>
              <w:rPr>
                <w:rFonts w:ascii="Times New Roman" w:hAnsi="Times New Roman"/>
                <w:b/>
                <w:lang w:val="ru-RU"/>
              </w:rPr>
              <w:t xml:space="preserve">ТОП-50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</w:t>
            </w:r>
            <w:r/>
          </w:p>
        </w:tc>
      </w:tr>
      <w:tr>
        <w:trPr>
          <w:trHeight w:val="12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ИТОГО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0</w:t>
            </w:r>
            <w:r/>
          </w:p>
        </w:tc>
      </w:tr>
      <w:tr>
        <w:trPr>
          <w:trHeight w:val="127"/>
        </w:trPr>
        <w:tc>
          <w:tcPr>
            <w:gridSpan w:val="7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057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 xml:space="preserve">Программы подготовки специалистов среднего звена</w:t>
            </w: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378"/>
              <w:ind w:firstLine="5"/>
              <w:spacing w:lineRule="auto" w:line="240"/>
              <w:widowControl/>
            </w:pPr>
            <w:r>
              <w:rPr>
                <w:rStyle w:val="379"/>
                <w:sz w:val="24"/>
                <w:szCs w:val="24"/>
              </w:rPr>
              <w:t xml:space="preserve">08.02.01 Строительство и эксплуатация зданий</w:t>
            </w:r>
            <w:r>
              <w:rPr>
                <w:rStyle w:val="379"/>
                <w:sz w:val="24"/>
                <w:szCs w:val="24"/>
              </w:rPr>
              <w:t xml:space="preserve">  </w:t>
            </w:r>
            <w:r>
              <w:rPr>
                <w:rStyle w:val="379"/>
                <w:sz w:val="24"/>
                <w:szCs w:val="24"/>
              </w:rPr>
              <w:t xml:space="preserve">и сооружений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3г. 10мес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</w:tr>
      <w:tr>
        <w:trPr>
          <w:cantSplit/>
          <w:trHeight w:val="32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</w:tr>
      <w:tr>
        <w:trPr>
          <w:cantSplit/>
          <w:trHeight w:val="485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3г. 10мес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заочная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</w:tr>
      <w:tr>
        <w:trPr>
          <w:trHeight w:val="705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8"/>
              <w:ind w:firstLine="5"/>
              <w:spacing w:lineRule="auto" w:line="240"/>
              <w:widowControl/>
            </w:pPr>
            <w:r>
              <w:rPr>
                <w:rStyle w:val="379"/>
                <w:sz w:val="24"/>
                <w:szCs w:val="24"/>
              </w:rPr>
              <w:t xml:space="preserve">08.02.06 Строительство и эксплуатация городских путей сообщения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3г. 10мес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8"/>
              <w:spacing w:lineRule="auto" w:line="240"/>
              <w:widowControl/>
            </w:pPr>
            <w:r>
              <w:rPr>
                <w:rStyle w:val="379"/>
                <w:sz w:val="24"/>
                <w:szCs w:val="24"/>
              </w:rPr>
              <w:t xml:space="preserve">08.02.03 Производство неметаллических строительных изделий и конструкций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</w:t>
            </w:r>
            <w:r>
              <w:rPr>
                <w:rFonts w:ascii="Times New Roman" w:hAnsi="Times New Roman"/>
              </w:rPr>
              <w:t xml:space="preserve">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</w:t>
            </w:r>
            <w:r>
              <w:rPr>
                <w:rFonts w:ascii="Times New Roman" w:hAnsi="Times New Roman"/>
              </w:rPr>
              <w:t xml:space="preserve">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</w:tr>
      <w:tr>
        <w:trPr>
          <w:trHeight w:val="112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Style w:val="379"/>
                <w:sz w:val="24"/>
                <w:szCs w:val="24"/>
                <w:lang w:val="ru-RU"/>
              </w:rPr>
              <w:t xml:space="preserve">08.02.09 Монтаж, наладка и эксплуатация электрооборудования промышленных и гражданских зданий</w:t>
            </w: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3г. 10мес.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Style w:val="378"/>
              <w:ind w:firstLine="19"/>
              <w:spacing w:lineRule="auto" w:line="240"/>
              <w:widowControl/>
              <w:rPr>
                <w:rStyle w:val="379"/>
                <w:sz w:val="24"/>
                <w:szCs w:val="24"/>
              </w:rPr>
            </w:pPr>
            <w:r>
              <w:rPr>
                <w:rStyle w:val="379"/>
                <w:sz w:val="24"/>
                <w:szCs w:val="24"/>
              </w:rPr>
              <w:t xml:space="preserve">23.02.07 Техническое обслуживание и ремонт</w:t>
            </w:r>
            <w:r/>
          </w:p>
          <w:p>
            <w:pPr>
              <w:pStyle w:val="378"/>
              <w:ind w:hanging="5"/>
              <w:spacing w:lineRule="auto" w:line="240"/>
              <w:widowControl/>
            </w:pPr>
            <w:r>
              <w:rPr>
                <w:rStyle w:val="379"/>
                <w:sz w:val="24"/>
                <w:szCs w:val="24"/>
              </w:rPr>
              <w:t xml:space="preserve">двигателей, систем и агрегатов автомобилей </w:t>
            </w:r>
            <w:r>
              <w:rPr>
                <w:b/>
              </w:rPr>
              <w:t xml:space="preserve">ТОП-50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</w:t>
            </w:r>
            <w:r>
              <w:rPr>
                <w:rFonts w:ascii="Times New Roman" w:hAnsi="Times New Roman"/>
              </w:rPr>
              <w:t xml:space="preserve">г.10 мес.</w:t>
            </w:r>
            <w:r>
              <w:rPr>
                <w:rFonts w:ascii="Times New Roman" w:hAnsi="Times New Roman"/>
                <w:lang w:val="ru-RU"/>
              </w:rPr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</w:t>
            </w:r>
            <w:r>
              <w:rPr>
                <w:rFonts w:ascii="Times New Roman" w:hAnsi="Times New Roman"/>
              </w:rPr>
              <w:t xml:space="preserve">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</w:tr>
      <w:tr>
        <w:trPr>
          <w:cantSplit/>
          <w:trHeight w:val="360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 кл.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2г.10 мес.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8"/>
              <w:spacing w:lineRule="auto" w:line="240"/>
              <w:widowControl/>
              <w:rPr>
                <w:rStyle w:val="379"/>
                <w:sz w:val="24"/>
                <w:szCs w:val="24"/>
              </w:rPr>
            </w:pPr>
            <w:r>
              <w:rPr>
                <w:rStyle w:val="379"/>
                <w:sz w:val="24"/>
                <w:szCs w:val="24"/>
              </w:rPr>
              <w:t xml:space="preserve">15.02.13 Техническое обслуживание и ремонт систем вентиляции и кондиционирования </w:t>
            </w:r>
            <w:r>
              <w:rPr>
                <w:b/>
              </w:rPr>
              <w:t xml:space="preserve">ТОП-50</w:t>
            </w:r>
            <w:r>
              <w:rPr>
                <w:rStyle w:val="379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 кл.</w:t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</w:t>
            </w:r>
            <w:r>
              <w:rPr>
                <w:rFonts w:ascii="Times New Roman" w:hAnsi="Times New Roman"/>
              </w:rPr>
              <w:t xml:space="preserve">г.10 мес.</w:t>
            </w:r>
            <w:r>
              <w:rPr>
                <w:rFonts w:ascii="Times New Roman" w:hAnsi="Times New Roman"/>
                <w:lang w:val="ru-RU"/>
              </w:rPr>
            </w:r>
            <w:r/>
          </w:p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</w:t>
            </w:r>
            <w:r>
              <w:rPr>
                <w:rFonts w:ascii="Times New Roman" w:hAnsi="Times New Roman"/>
              </w:rPr>
              <w:t xml:space="preserve">чная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</w:t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8"/>
              <w:spacing w:lineRule="auto" w:line="240"/>
              <w:widowControl/>
              <w:rPr>
                <w:rStyle w:val="379"/>
                <w:b/>
                <w:sz w:val="24"/>
                <w:szCs w:val="24"/>
              </w:rPr>
            </w:pPr>
            <w:r>
              <w:rPr>
                <w:b/>
              </w:rPr>
              <w:t xml:space="preserve">ИТОГО</w:t>
            </w:r>
            <w:r>
              <w:rPr>
                <w:rStyle w:val="379"/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375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275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100</w:t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378"/>
              <w:spacing w:lineRule="auto" w:line="240"/>
              <w:widowControl/>
              <w:rPr>
                <w:b/>
              </w:rPr>
            </w:pPr>
            <w:r>
              <w:rPr>
                <w:b/>
              </w:rPr>
              <w:t xml:space="preserve">ВСЕГО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585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485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100</w:t>
            </w:r>
            <w:r/>
          </w:p>
        </w:tc>
      </w:tr>
    </w:tbl>
    <w:sectPr>
      <w:footnotePr/>
      <w:type w:val="nextPage"/>
      <w:pgSz w:w="11906" w:h="16838" w:orient="portrait"/>
      <w:pgMar w:top="142" w:right="510" w:bottom="567" w:left="510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1">
    <w:name w:val="Обычный"/>
    <w:next w:val="371"/>
    <w:link w:val="371"/>
    <w:rPr>
      <w:rFonts w:ascii="Calibri" w:hAnsi="Calibri"/>
      <w:sz w:val="24"/>
      <w:szCs w:val="24"/>
      <w:lang w:val="en-US" w:bidi="en-US" w:eastAsia="en-US"/>
    </w:rPr>
  </w:style>
  <w:style w:type="character" w:styleId="372">
    <w:name w:val="Основной шрифт абзаца"/>
    <w:next w:val="372"/>
    <w:link w:val="371"/>
    <w:semiHidden/>
  </w:style>
  <w:style w:type="table" w:styleId="373">
    <w:name w:val="Обычная таблица"/>
    <w:next w:val="373"/>
    <w:link w:val="371"/>
    <w:semiHidden/>
    <w:tblPr/>
  </w:style>
  <w:style w:type="numbering" w:styleId="374">
    <w:name w:val="Нет списка"/>
    <w:next w:val="374"/>
    <w:link w:val="371"/>
    <w:semiHidden/>
  </w:style>
  <w:style w:type="paragraph" w:styleId="375">
    <w:name w:val="ConsPlusCell"/>
    <w:next w:val="375"/>
    <w:link w:val="371"/>
    <w:rPr>
      <w:rFonts w:ascii="Arial" w:hAnsi="Arial"/>
      <w:lang w:val="ru-RU" w:bidi="ar-SA" w:eastAsia="ru-RU"/>
    </w:rPr>
    <w:pPr>
      <w:widowControl w:val="off"/>
    </w:pPr>
  </w:style>
  <w:style w:type="paragraph" w:styleId="376">
    <w:name w:val="Style4"/>
    <w:basedOn w:val="371"/>
    <w:next w:val="376"/>
    <w:link w:val="371"/>
    <w:rPr>
      <w:rFonts w:ascii="Times New Roman" w:hAnsi="Times New Roman" w:eastAsia="Times New Roman"/>
      <w:lang w:val="ru-RU" w:bidi="ar-SA" w:eastAsia="ru-RU"/>
    </w:rPr>
    <w:pPr>
      <w:spacing w:lineRule="exact" w:line="269"/>
      <w:widowControl w:val="off"/>
    </w:pPr>
  </w:style>
  <w:style w:type="character" w:styleId="377">
    <w:name w:val="Font Style13"/>
    <w:next w:val="377"/>
    <w:link w:val="371"/>
    <w:rPr>
      <w:rFonts w:ascii="Times New Roman" w:hAnsi="Times New Roman"/>
      <w:b/>
      <w:bCs/>
      <w:sz w:val="20"/>
      <w:szCs w:val="20"/>
    </w:rPr>
  </w:style>
  <w:style w:type="paragraph" w:styleId="378">
    <w:name w:val="Style3"/>
    <w:basedOn w:val="371"/>
    <w:next w:val="378"/>
    <w:link w:val="371"/>
    <w:rPr>
      <w:rFonts w:ascii="Times New Roman" w:hAnsi="Times New Roman" w:eastAsia="Times New Roman"/>
      <w:lang w:val="ru-RU" w:bidi="ar-SA" w:eastAsia="ru-RU"/>
    </w:rPr>
    <w:pPr>
      <w:spacing w:lineRule="exact" w:line="245"/>
      <w:widowControl w:val="off"/>
    </w:pPr>
  </w:style>
  <w:style w:type="character" w:styleId="379">
    <w:name w:val="Font Style12"/>
    <w:next w:val="379"/>
    <w:link w:val="371"/>
    <w:rPr>
      <w:rFonts w:ascii="Times New Roman" w:hAnsi="Times New Roman"/>
      <w:sz w:val="20"/>
      <w:szCs w:val="20"/>
    </w:rPr>
  </w:style>
  <w:style w:type="paragraph" w:styleId="380">
    <w:name w:val="Style6"/>
    <w:basedOn w:val="371"/>
    <w:next w:val="380"/>
    <w:link w:val="371"/>
    <w:rPr>
      <w:rFonts w:ascii="Times New Roman" w:hAnsi="Times New Roman" w:eastAsia="Times New Roman"/>
      <w:lang w:val="ru-RU" w:bidi="ar-SA" w:eastAsia="ru-RU"/>
    </w:rPr>
    <w:pPr>
      <w:widowControl w:val="off"/>
    </w:pPr>
  </w:style>
  <w:style w:type="paragraph" w:styleId="381">
    <w:name w:val="Style7"/>
    <w:basedOn w:val="371"/>
    <w:next w:val="381"/>
    <w:link w:val="371"/>
    <w:rPr>
      <w:rFonts w:ascii="Times New Roman" w:hAnsi="Times New Roman" w:eastAsia="Times New Roman"/>
      <w:lang w:val="ru-RU" w:bidi="ar-SA" w:eastAsia="ru-RU"/>
    </w:rPr>
    <w:pPr>
      <w:jc w:val="center"/>
      <w:spacing w:lineRule="exact" w:line="228"/>
      <w:widowControl w:val="off"/>
    </w:pPr>
  </w:style>
  <w:style w:type="paragraph" w:styleId="382">
    <w:name w:val="Текст выноски"/>
    <w:basedOn w:val="371"/>
    <w:next w:val="382"/>
    <w:link w:val="383"/>
    <w:rPr>
      <w:rFonts w:ascii="Tahoma" w:hAnsi="Tahoma"/>
      <w:sz w:val="16"/>
      <w:szCs w:val="16"/>
    </w:rPr>
  </w:style>
  <w:style w:type="character" w:styleId="383">
    <w:name w:val="Текст выноски Знак"/>
    <w:next w:val="383"/>
    <w:link w:val="382"/>
    <w:rPr>
      <w:rFonts w:ascii="Tahoma" w:hAnsi="Tahoma"/>
      <w:sz w:val="16"/>
      <w:szCs w:val="16"/>
      <w:lang w:val="en-US" w:bidi="en-US" w:eastAsia="en-US"/>
    </w:rPr>
  </w:style>
  <w:style w:type="paragraph" w:styleId="384">
    <w:name w:val="Верхний колонтитул"/>
    <w:basedOn w:val="371"/>
    <w:next w:val="384"/>
    <w:link w:val="385"/>
    <w:pPr>
      <w:tabs>
        <w:tab w:val="center" w:pos="4677" w:leader="none"/>
        <w:tab w:val="right" w:pos="9355" w:leader="none"/>
      </w:tabs>
    </w:pPr>
  </w:style>
  <w:style w:type="character" w:styleId="385">
    <w:name w:val="Верхний колонтитул Знак"/>
    <w:next w:val="385"/>
    <w:link w:val="384"/>
    <w:rPr>
      <w:rFonts w:ascii="Calibri" w:hAnsi="Calibri"/>
      <w:sz w:val="24"/>
      <w:szCs w:val="24"/>
      <w:lang w:val="en-US" w:bidi="en-US" w:eastAsia="en-US"/>
    </w:rPr>
  </w:style>
  <w:style w:type="paragraph" w:styleId="386">
    <w:name w:val="Нижний колонтитул"/>
    <w:basedOn w:val="371"/>
    <w:next w:val="386"/>
    <w:link w:val="387"/>
    <w:pPr>
      <w:tabs>
        <w:tab w:val="center" w:pos="4677" w:leader="none"/>
        <w:tab w:val="right" w:pos="9355" w:leader="none"/>
      </w:tabs>
    </w:pPr>
  </w:style>
  <w:style w:type="character" w:styleId="387">
    <w:name w:val="Нижний колонтитул Знак"/>
    <w:next w:val="387"/>
    <w:link w:val="386"/>
    <w:rPr>
      <w:rFonts w:ascii="Calibri" w:hAnsi="Calibri"/>
      <w:sz w:val="24"/>
      <w:szCs w:val="24"/>
      <w:lang w:val="en-US" w:bidi="en-US" w:eastAsia="en-US"/>
    </w:rPr>
  </w:style>
  <w:style w:type="character" w:styleId="2152" w:default="1">
    <w:name w:val="Default Paragraph Font"/>
    <w:uiPriority w:val="1"/>
    <w:semiHidden/>
    <w:unhideWhenUsed/>
  </w:style>
  <w:style w:type="numbering" w:styleId="2153" w:default="1">
    <w:name w:val="No List"/>
    <w:uiPriority w:val="99"/>
    <w:semiHidden/>
    <w:unhideWhenUsed/>
  </w:style>
  <w:style w:type="paragraph" w:styleId="2154" w:default="1">
    <w:name w:val="Normal"/>
    <w:qFormat/>
  </w:style>
  <w:style w:type="table" w:styleId="21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Р7-Офис/5.5.2.19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2020-07-10T11:47:27Z</dcterms:modified>
</cp:coreProperties>
</file>