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B9" w:rsidRPr="00B1387A" w:rsidRDefault="002B48B9" w:rsidP="00B13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72C"/>
          <w:sz w:val="36"/>
          <w:szCs w:val="36"/>
        </w:rPr>
      </w:pP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  <w:shd w:val="clear" w:color="auto" w:fill="FFFFFF"/>
        </w:rPr>
        <w:t>Методические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</w:rPr>
        <w:t> 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  <w:shd w:val="clear" w:color="auto" w:fill="FFFFFF"/>
        </w:rPr>
        <w:t>рекомендации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</w:rPr>
        <w:t> для 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  <w:shd w:val="clear" w:color="auto" w:fill="FFFFFF"/>
        </w:rPr>
        <w:t>выбора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</w:rPr>
        <w:t> и 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  <w:shd w:val="clear" w:color="auto" w:fill="FFFFFF"/>
        </w:rPr>
        <w:t>формулирования</w:t>
      </w:r>
      <w:r w:rsidRPr="00B1387A">
        <w:rPr>
          <w:rFonts w:ascii="Times New Roman" w:eastAsia="Times New Roman" w:hAnsi="Times New Roman" w:cs="Times New Roman"/>
          <w:color w:val="21272C"/>
          <w:sz w:val="36"/>
          <w:szCs w:val="36"/>
        </w:rPr>
        <w:t> тем самообразования</w:t>
      </w:r>
    </w:p>
    <w:p w:rsidR="002B48B9" w:rsidRPr="00B1387A" w:rsidRDefault="002B48B9" w:rsidP="00B1387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7A">
        <w:rPr>
          <w:rFonts w:ascii="Times New Roman" w:eastAsia="Times New Roman" w:hAnsi="Times New Roman" w:cs="Times New Roman"/>
          <w:sz w:val="28"/>
          <w:szCs w:val="28"/>
        </w:rPr>
        <w:t>Как выбирается тема.</w:t>
      </w:r>
    </w:p>
    <w:p w:rsidR="002B48B9" w:rsidRPr="00B1387A" w:rsidRDefault="002B48B9" w:rsidP="00B1387A">
      <w:pPr>
        <w:pStyle w:val="a4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8B9" w:rsidRPr="00B1387A" w:rsidRDefault="002B48B9" w:rsidP="00B1387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7A">
        <w:rPr>
          <w:rFonts w:ascii="Times New Roman" w:eastAsia="Times New Roman" w:hAnsi="Times New Roman" w:cs="Times New Roman"/>
          <w:sz w:val="28"/>
          <w:szCs w:val="28"/>
        </w:rPr>
        <w:t xml:space="preserve">1.1.         Тема самообразования выбирается, исходя из проблем, которые обнаруживает 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 xml:space="preserve"> в  процессе своей педагогической деятельности (для совершенствования своего профессионального уровня и, соответственно, решения обозначенных проблем). Например:   педагогу необходимо освоить методику групповой работы, следовательно, он   планирует на 3-4 года работу над темой самообразования «Совершенствование общеучебных знаний, умений, навыков посредством использования групповых форм работы на уроках…  (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B48B9" w:rsidRPr="00B1387A" w:rsidRDefault="002B48B9" w:rsidP="00B1387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8B9" w:rsidRPr="00B1387A" w:rsidRDefault="00C3581B" w:rsidP="00B1387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7A">
        <w:rPr>
          <w:rFonts w:ascii="Times New Roman" w:eastAsia="Times New Roman" w:hAnsi="Times New Roman" w:cs="Times New Roman"/>
          <w:sz w:val="28"/>
          <w:szCs w:val="28"/>
        </w:rPr>
        <w:t>1.2.         Т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 xml:space="preserve">ема самообразования 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преподава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 xml:space="preserve">теля 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 xml:space="preserve">обычно 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 xml:space="preserve">связана с общей стратегической целью развития 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 xml:space="preserve">; если педагог работает в экспериментальном, инновационном режиме, то и тема выбирается в соответствии с теми задачами, которые реализует данное направление деятельности 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ПОО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>.  Например: «Методические рекомендации по использованию рекреационных технологий на уроках … (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>)», «Использование региональной составляющей на уроках … (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>) как условие формирования поликультурной личности»,  «Использование приёмов деятельностного подхода на уроках … (</w:t>
      </w:r>
      <w:r w:rsidR="00B27516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2B48B9" w:rsidRPr="00B1387A">
        <w:rPr>
          <w:rFonts w:ascii="Times New Roman" w:eastAsia="Times New Roman" w:hAnsi="Times New Roman" w:cs="Times New Roman"/>
          <w:sz w:val="28"/>
          <w:szCs w:val="28"/>
        </w:rPr>
        <w:t>) для развития творческих способностей обучающихся».          </w:t>
      </w:r>
    </w:p>
    <w:p w:rsidR="00B27516" w:rsidRDefault="00B27516" w:rsidP="002B48B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B48B9" w:rsidRPr="002B48B9" w:rsidRDefault="002B48B9" w:rsidP="002B48B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t>2.     Как правильно формулировать тему самообразования.</w:t>
      </w:r>
    </w:p>
    <w:p w:rsidR="002B48B9" w:rsidRPr="002B48B9" w:rsidRDefault="002B48B9" w:rsidP="002B48B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t>2.1.         Формулировка традиционной темы самообразования  условно содержит три части:</w:t>
      </w:r>
    </w:p>
    <w:tbl>
      <w:tblPr>
        <w:tblW w:w="10236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2977"/>
        <w:gridCol w:w="2439"/>
      </w:tblGrid>
      <w:tr w:rsidR="002B48B9" w:rsidRPr="002B48B9" w:rsidTr="00B1387A">
        <w:trPr>
          <w:trHeight w:val="1200"/>
        </w:trPr>
        <w:tc>
          <w:tcPr>
            <w:tcW w:w="4820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48B9" w:rsidRPr="002B48B9" w:rsidRDefault="002B48B9" w:rsidP="00B138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I часть (основная часть: содержит</w:t>
            </w:r>
            <w:r w:rsidR="00B13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проблему)</w:t>
            </w:r>
          </w:p>
        </w:tc>
        <w:tc>
          <w:tcPr>
            <w:tcW w:w="2977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48B9" w:rsidRPr="002B48B9" w:rsidRDefault="002B48B9" w:rsidP="00B138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II часть (связующее звено)</w:t>
            </w:r>
          </w:p>
        </w:tc>
        <w:tc>
          <w:tcPr>
            <w:tcW w:w="2439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48B9" w:rsidRPr="002B48B9" w:rsidRDefault="002B48B9" w:rsidP="00B138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III часть (аспект, через который будет решаться обозначенная</w:t>
            </w:r>
            <w:r w:rsidR="00B13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проблема)</w:t>
            </w:r>
          </w:p>
        </w:tc>
      </w:tr>
      <w:tr w:rsidR="002B48B9" w:rsidRPr="002B48B9" w:rsidTr="00B1387A">
        <w:trPr>
          <w:trHeight w:val="2996"/>
        </w:trPr>
        <w:tc>
          <w:tcPr>
            <w:tcW w:w="4820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7516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… Формирование…        </w:t>
            </w:r>
          </w:p>
          <w:p w:rsidR="00B27516" w:rsidRDefault="002B48B9" w:rsidP="00B2751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Интеграция…             Развитие   </w:t>
            </w:r>
            <w:r w:rsidR="00B27516">
              <w:rPr>
                <w:rFonts w:ascii="Times New Roman" w:eastAsia="Times New Roman" w:hAnsi="Times New Roman" w:cs="Times New Roman"/>
                <w:sz w:val="28"/>
                <w:szCs w:val="28"/>
              </w:rPr>
              <w:t>…        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  …     </w:t>
            </w:r>
            <w:r w:rsidR="007F7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27516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  …Применение   …       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… Уп</w:t>
            </w:r>
            <w:r w:rsidR="00B27516">
              <w:rPr>
                <w:rFonts w:ascii="Times New Roman" w:eastAsia="Times New Roman" w:hAnsi="Times New Roman" w:cs="Times New Roman"/>
                <w:sz w:val="28"/>
                <w:szCs w:val="28"/>
              </w:rPr>
              <w:t>равление …     </w:t>
            </w:r>
            <w:r w:rsidR="007F7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516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="00B27516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… </w:t>
            </w:r>
            <w:r w:rsidR="007F7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… </w:t>
            </w:r>
          </w:p>
          <w:p w:rsidR="002B48B9" w:rsidRPr="002B48B9" w:rsidRDefault="002B48B9" w:rsidP="00B2751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…</w:t>
            </w:r>
          </w:p>
        </w:tc>
        <w:tc>
          <w:tcPr>
            <w:tcW w:w="2977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 как средство…</w:t>
            </w:r>
          </w:p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 как условие…</w:t>
            </w:r>
          </w:p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…аспект…</w:t>
            </w:r>
          </w:p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…фактор…</w:t>
            </w:r>
          </w:p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…основа…</w:t>
            </w:r>
          </w:p>
          <w:p w:rsidR="002B48B9" w:rsidRPr="002B48B9" w:rsidRDefault="002B48B9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…механизм…</w:t>
            </w:r>
          </w:p>
        </w:tc>
        <w:tc>
          <w:tcPr>
            <w:tcW w:w="2439" w:type="dxa"/>
            <w:tcBorders>
              <w:top w:val="single" w:sz="6" w:space="0" w:color="758899"/>
              <w:left w:val="single" w:sz="6" w:space="0" w:color="758899"/>
              <w:bottom w:val="single" w:sz="6" w:space="0" w:color="758899"/>
              <w:right w:val="single" w:sz="6" w:space="0" w:color="7588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7516" w:rsidRDefault="00B27516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развития… </w:t>
            </w:r>
            <w:r w:rsidR="002B48B9"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совершенствования …</w:t>
            </w:r>
          </w:p>
          <w:p w:rsidR="002B48B9" w:rsidRPr="002B48B9" w:rsidRDefault="00B27516" w:rsidP="002B48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активизации… повышения… оптимизации… эффективности… </w:t>
            </w:r>
            <w:r w:rsidR="002B48B9" w:rsidRPr="002B48B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2B48B9" w:rsidRPr="002B48B9" w:rsidRDefault="002B48B9" w:rsidP="00B1387A">
      <w:pPr>
        <w:pStyle w:val="a4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lastRenderedPageBreak/>
        <w:t>2.2.         Таким образом, темы самообразования в традиционной формулировке звучат так: «Формирование универсальных учебных действий на уроках … (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2B48B9">
        <w:rPr>
          <w:rFonts w:ascii="Times New Roman" w:eastAsia="Times New Roman" w:hAnsi="Times New Roman" w:cs="Times New Roman"/>
          <w:sz w:val="28"/>
          <w:szCs w:val="28"/>
        </w:rPr>
        <w:t xml:space="preserve">) посредством использования принципов деятельностного подхода», «Личностно-ориентированный подход как важное условие эффективности процесса обучения», «Повышение функциональной грамотности обучающихся на уроках иностранного языка  через использование игровых технологий», «Нетрадиционные типы уроков как средство развития творческих способностей 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2B48B9">
        <w:rPr>
          <w:rFonts w:ascii="Times New Roman" w:eastAsia="Times New Roman" w:hAnsi="Times New Roman" w:cs="Times New Roman"/>
          <w:sz w:val="28"/>
          <w:szCs w:val="28"/>
        </w:rPr>
        <w:t xml:space="preserve">», «Игра как средство интерактивного обучения», «Речевые упражнения 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на уроках литературы</w:t>
      </w:r>
      <w:r w:rsidRPr="002B48B9">
        <w:rPr>
          <w:rFonts w:ascii="Times New Roman" w:eastAsia="Times New Roman" w:hAnsi="Times New Roman" w:cs="Times New Roman"/>
          <w:sz w:val="28"/>
          <w:szCs w:val="28"/>
        </w:rPr>
        <w:t xml:space="preserve"> как один из аспектов личностно-ориентированного обучения»  и т.д.</w:t>
      </w:r>
    </w:p>
    <w:p w:rsidR="002B48B9" w:rsidRPr="002B48B9" w:rsidRDefault="002B48B9" w:rsidP="00B1387A">
      <w:pPr>
        <w:pStyle w:val="a4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t>2.3.         Темы могут иметь нетипичную формулировку: «Через книгу к грамотности, культуре, душе …», «Как построить личностно-ориентированный урок»,  «Научно-</w:t>
      </w:r>
      <w:r w:rsidR="00AA382D"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аспект в </w:t>
      </w:r>
      <w:r w:rsidRPr="002B48B9">
        <w:rPr>
          <w:rFonts w:ascii="Times New Roman" w:eastAsia="Times New Roman" w:hAnsi="Times New Roman" w:cs="Times New Roman"/>
          <w:sz w:val="28"/>
          <w:szCs w:val="28"/>
        </w:rPr>
        <w:t>преподавании биологии», «Разработка занятий-исследований» и пр.</w:t>
      </w:r>
    </w:p>
    <w:p w:rsidR="002B48B9" w:rsidRPr="002B48B9" w:rsidRDefault="002B48B9" w:rsidP="002B48B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t>2.4.         Темы не должны быть:</w:t>
      </w:r>
    </w:p>
    <w:p w:rsidR="002B48B9" w:rsidRPr="00B1387A" w:rsidRDefault="002B48B9" w:rsidP="00B1387A">
      <w:pPr>
        <w:pStyle w:val="a4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8B9"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слишком общими: «Использование инновационных технологий в обучении  … (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)» (нельзя освоить в совершенстве одновременно все инновационные технологии;  это может быть либо одна технология, либо некоторые приёмы нескольких технологий);</w:t>
      </w:r>
    </w:p>
    <w:p w:rsidR="002B48B9" w:rsidRPr="00B1387A" w:rsidRDefault="002B48B9" w:rsidP="00B1387A">
      <w:pPr>
        <w:pStyle w:val="a4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7A">
        <w:rPr>
          <w:rFonts w:ascii="Times New Roman" w:eastAsia="Times New Roman" w:hAnsi="Times New Roman" w:cs="Times New Roman"/>
          <w:sz w:val="28"/>
          <w:szCs w:val="28"/>
        </w:rPr>
        <w:t>·         незавершёнными: «Способы активизации познавательной деятельности обучающихся»  (формулировка незакончена, возникают вопросы: «Для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 xml:space="preserve"> чего активизируете?», «На какой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?»);</w:t>
      </w:r>
    </w:p>
    <w:p w:rsidR="00406BEE" w:rsidRPr="00B1387A" w:rsidRDefault="002B48B9" w:rsidP="00B1387A">
      <w:pPr>
        <w:pStyle w:val="a4"/>
        <w:ind w:left="-851" w:hanging="142"/>
        <w:jc w:val="both"/>
        <w:rPr>
          <w:sz w:val="28"/>
          <w:szCs w:val="28"/>
        </w:rPr>
      </w:pPr>
      <w:r w:rsidRPr="00B1387A">
        <w:rPr>
          <w:rFonts w:ascii="Times New Roman" w:eastAsia="Times New Roman" w:hAnsi="Times New Roman" w:cs="Times New Roman"/>
          <w:sz w:val="28"/>
          <w:szCs w:val="28"/>
        </w:rPr>
        <w:t>·         слишком повседневными: «Формирование знаний, умений, навыков на уроках … (</w:t>
      </w:r>
      <w:r w:rsidR="009271BB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B1387A">
        <w:rPr>
          <w:rFonts w:ascii="Times New Roman" w:eastAsia="Times New Roman" w:hAnsi="Times New Roman" w:cs="Times New Roman"/>
          <w:sz w:val="28"/>
          <w:szCs w:val="28"/>
        </w:rPr>
        <w:t>)», «Активизация мыслительной деятельности на уроках».</w:t>
      </w:r>
      <w:r w:rsidRPr="00B1387A">
        <w:rPr>
          <w:rFonts w:ascii="Georgia" w:eastAsia="Times New Roman" w:hAnsi="Georgia" w:cs="Times New Roman"/>
          <w:vanish/>
          <w:color w:val="21272C"/>
          <w:sz w:val="28"/>
          <w:szCs w:val="28"/>
        </w:rPr>
        <w:t> </w:t>
      </w:r>
    </w:p>
    <w:sectPr w:rsidR="00406BEE" w:rsidRPr="00B1387A" w:rsidSect="000A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72D0"/>
    <w:multiLevelType w:val="hybridMultilevel"/>
    <w:tmpl w:val="F04C4892"/>
    <w:lvl w:ilvl="0" w:tplc="1EDC48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48B9"/>
    <w:rsid w:val="00086308"/>
    <w:rsid w:val="000A15D1"/>
    <w:rsid w:val="0015739D"/>
    <w:rsid w:val="002B48B9"/>
    <w:rsid w:val="00406BEE"/>
    <w:rsid w:val="007F7DF0"/>
    <w:rsid w:val="009271BB"/>
    <w:rsid w:val="00AA382D"/>
    <w:rsid w:val="00B1387A"/>
    <w:rsid w:val="00B27516"/>
    <w:rsid w:val="00C3581B"/>
    <w:rsid w:val="00FD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2B48B9"/>
    <w:rPr>
      <w:vanish/>
      <w:webHidden w:val="0"/>
      <w:specVanish w:val="0"/>
    </w:rPr>
  </w:style>
  <w:style w:type="paragraph" w:styleId="a4">
    <w:name w:val="No Spacing"/>
    <w:uiPriority w:val="1"/>
    <w:qFormat/>
    <w:rsid w:val="002B48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5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131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4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ОГБОУ СПО БСК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2014-01-10T10:25:00Z</cp:lastPrinted>
  <dcterms:created xsi:type="dcterms:W3CDTF">2014-01-10T09:24:00Z</dcterms:created>
  <dcterms:modified xsi:type="dcterms:W3CDTF">2014-10-23T08:41:00Z</dcterms:modified>
</cp:coreProperties>
</file>